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8310" cy="609600"/>
            <wp:effectExtent b="0" l="0" r="0" t="0"/>
            <wp:docPr id="1026"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831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ПРОЕКТ 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27 липня 2023 року               м. Сквира                        №-37-VIII</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внесення змін до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Програми фінансової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підтримки комунальних підприємств у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Сквирській </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міській територіальній громаді на 2021-2025 роки</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30j0zll"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ст.26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Закону України «Про місцеве самоврядування в Україні»,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відповідно до ст.71, 91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Бюджетного кодексу України, для забезпечення сталого розвитку Сквирської міської територіальної громади,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стабільної роботи підприємств комунальної власності щодо надання мешканцям громади якісних житлових і комунальних послуг</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 урахуванням державних, громадських і приватних інтересів, враховуючи пропозиції постійної комісії Сквирської міської ради з питань комунального майна, житлово-комунального господарства, благоустрою та охорони навколишнього середовища, постійної комісії з питань планування бюджету та фінансів, соціально-економічного розвитку, Сквирська міська рада  VІІІ скликання</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1fob9te" w:id="1"/>
      <w:bookmarkEnd w:id="1"/>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 Внести зміни до Додатків 1 та  2  рішення Сквирської міської ради від 29.04.2021 №14-7-VIII«Про затвердження Програми фінансової підтримки комунальних підприємств у Сквирській міській територіальній громаді на 2021 - 2025 роки», виклавши його в новій редакції (додається).</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Обсяг фінансування «Програми фінансової підтримки комунальних підприємств у Сквирській міській територіальній громаді на 2021 - 2025 роки» визначається рішенням сесії «Про бюджет Сквирської міської територіальної  громади (код бюджету 10561000000)» на відповідний бюджетний період з урахуванням відповідних змін.</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 Контроль за виконанням даного рішення покласти на постійну комісію з питань комунального майна, житлово-комунального господарства, благоустрою та охорони навколишнього середовища та  постійну комісію з питань планування бюджету та фінансів, соціально – економічно горозвитку Сквирської міської ради.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Погоджено :</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Секретарміської ради                                                               Тетяна ВЛАСЮК</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Заступниця міської голови                                            Людмила СЕРГІЄНКО</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міської голови                                                Олександр ГНАТЮК</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юридичного забезпечення</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ради та діловодства                                                                       Ірина КВАША</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bookmarkStart w:colFirst="0" w:colLast="0" w:name="_heading=h.gjdgxs" w:id="2"/>
      <w:bookmarkEnd w:id="2"/>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фінансового управління                               Ірина   КРУКІВСЬКА</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Виконавець</w:t>
      </w: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Начальниця Відділу капітального будівництва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комунальної власності та житлово-комунального </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господарства Сквирської міської ради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Марина ТЕРНОВА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винесення на </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затвердженнясесією</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планування бюджету та</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фінансів, соц..-економ. розвитку                                                   Максим ЧМИРЬ</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з питань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комунального майна, житлово-</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комунального господарства,</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благоустрою та охорони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навколишнього середовища                                                Микола СИВОРАКША</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1</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Сквирської міської ради</w:t>
      </w:r>
      <w:r w:rsidDel="00000000" w:rsidR="00000000" w:rsidRPr="00000000">
        <w:rPr>
          <w:rtl w:val="0"/>
        </w:rPr>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102"/>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27.07.2023 року №-37-VIII</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ПРОГРАМА</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фінансової підтримки комунальних підприємств</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 Сквирської міської територіальної громади</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на 2021-2025 роки</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ПАСПОРТ</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tbl>
      <w:tblPr>
        <w:tblStyle w:val="Table1"/>
        <w:tblW w:w="9503.0" w:type="dxa"/>
        <w:jc w:val="left"/>
        <w:tblBorders>
          <w:top w:color="e9ecef" w:space="0" w:sz="4" w:val="single"/>
          <w:left w:color="e9ecef" w:space="0" w:sz="4" w:val="single"/>
          <w:bottom w:color="e9ecef" w:space="0" w:sz="4" w:val="single"/>
          <w:right w:color="e9ecef" w:space="0" w:sz="4" w:val="single"/>
          <w:insideH w:color="000000" w:space="0" w:sz="0" w:val="nil"/>
          <w:insideV w:color="000000" w:space="0" w:sz="0" w:val="nil"/>
        </w:tblBorders>
        <w:tblLayout w:type="fixed"/>
        <w:tblLook w:val="0000"/>
      </w:tblPr>
      <w:tblGrid>
        <w:gridCol w:w="430"/>
        <w:gridCol w:w="3544"/>
        <w:gridCol w:w="5529"/>
        <w:tblGridChange w:id="0">
          <w:tblGrid>
            <w:gridCol w:w="430"/>
            <w:gridCol w:w="3544"/>
            <w:gridCol w:w="5529"/>
          </w:tblGrid>
        </w:tblGridChange>
      </w:tblGrid>
      <w:tr>
        <w:trPr>
          <w:cantSplit w:val="0"/>
          <w:tblHeader w:val="0"/>
        </w:trPr>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Ініціатор розроблення Програми</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Сквирська міська рада</w:t>
            </w:r>
            <w:r w:rsidDel="00000000" w:rsidR="00000000" w:rsidRPr="00000000">
              <w:rPr>
                <w:rtl w:val="0"/>
              </w:rPr>
            </w:r>
          </w:p>
        </w:tc>
      </w:tr>
      <w:tr>
        <w:trPr>
          <w:cantSplit w:val="0"/>
          <w:tblHeader w:val="0"/>
        </w:trPr>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Розробник програми</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Сквирська міська рада</w:t>
            </w:r>
            <w:r w:rsidDel="00000000" w:rsidR="00000000" w:rsidRPr="00000000">
              <w:rPr>
                <w:rtl w:val="0"/>
              </w:rPr>
            </w:r>
          </w:p>
        </w:tc>
      </w:tr>
      <w:tr>
        <w:trPr>
          <w:cantSplit w:val="0"/>
          <w:tblHeader w:val="0"/>
        </w:trPr>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Відповідальний виконавець</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Сквирська міська рада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капітального будівництва , комунальної власності та житлово-комунального господарства Сквирської міської ради</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Учасники Програми</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КП «Сквирське комунальне господарство», КП «Сквир-водоканал», КП «Сквираблагоустрій».</w:t>
            </w:r>
          </w:p>
        </w:tc>
      </w:tr>
      <w:tr>
        <w:trPr>
          <w:cantSplit w:val="0"/>
          <w:tblHeader w:val="0"/>
        </w:trPr>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Терміни реалізації програми</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2021-2025 роки</w:t>
            </w:r>
          </w:p>
        </w:tc>
      </w:tr>
      <w:tr>
        <w:trPr>
          <w:cantSplit w:val="0"/>
          <w:tblHeader w:val="0"/>
        </w:trPr>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Кошти задіяні на виконання Програми</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Бюджет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територіальної громади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(надалі – місцевий бюджет)</w:t>
            </w:r>
          </w:p>
        </w:tc>
      </w:tr>
      <w:tr>
        <w:trPr>
          <w:cantSplit w:val="0"/>
          <w:tblHeader w:val="0"/>
        </w:trPr>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Загальний обсяг фінансових ресурсів, необхідних для реалізації програми,</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всього:</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тому числі коштів місцевого бюджету:</w:t>
            </w:r>
          </w:p>
        </w:tc>
        <w:tc>
          <w:tcPr>
            <w:tcBorders>
              <w:top w:color="e9ecef" w:space="0" w:sz="4" w:val="single"/>
              <w:left w:color="e9ecef" w:space="0" w:sz="4" w:val="single"/>
              <w:bottom w:color="e9ecef" w:space="0" w:sz="4" w:val="single"/>
              <w:right w:color="e9ecef" w:space="0" w:sz="4" w:val="single"/>
            </w:tcBorders>
            <w:vAlign w:val="top"/>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76" w:lineRule="auto"/>
        <w:ind w:left="720" w:right="0" w:hanging="36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Загальні положення</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Програма фінансової підтримки комунальних підприємств у</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Сквирській міській територіальній громаді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2021-2025 роки (далі Програма) розроблена на виконання ст. 91 Бюджетного кодексу України, відповідно до Закону України «Про місцеве самоврядування в Україні».</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Для забезпечення виконання статутних завдань комунальні підприємства нерідко потребують залучення додаткового фінансування, яке сприятиме стабілізації їх фінансово-господарської діяльності, покращенню стану розрахунків, більш ефективному використанню майна, що належить до комунальної власності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територіальної громади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оновленню виробничих потужностей, технічної бази, забезпеченню повного і своєчасного внесення платежів до бюджету.</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Комунальні підприємства КП «Сквирське комунальне господарство», КП «Сквираблагоустрій» та КП «Сквир-водоканал» створені з метою надання послуг з благоустрою, вивезення і захоронення твердих побутових відходів, забезпечення м. Сквира та населених пунктів, що увійшли до складу Сквирської міської територіальної громади централізованим водопостачанням та водовідведенням, а також  виконання інших видів робіт в галузі житлово-комунального господарства всієї територіальної громади</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даний час фінансовий стан комунальних підприємств є складним через велике податкове навантаження та постійне зростання витрат (підвищення прожиткового мінімуму, ріст цін на енергоносії та матеріали), погіршенн платіжної дисципліни в частині розрахунків за спожиті послуги ,  в зв»язку із введенням військового стану. Ці фактори зумовлюють необхідність значного підняття тарифів та водночас роблять їх не підйомними для більшості споживачів. Такий стан справ призводить до неякісного надання послуг комунальними підприємствами споживачам, унеможливлює оновлення та переоснащення технічної бази підприємств, впровадженню енергозберігаючих технологій та до своєчасного і в повному обсязі розрахунків з бюджетами всіх рівнів.</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Несвоєчасна оплата за нарахованими податковими зобов’язаннями (єдиний соціальний внесок, податок на доходи фізичних осіб, тощо), зобов’язаннями зі сплати за спожиті енергоносії, інших складових витрат комунальних підприємств загрожують значними штрафними санкцій та пенями, що як наслідок, приводить до збитковості комунальних підприємств.</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вказаній ситуації єдино вірним рішенням, як це підтвердила практика багатьох місцевих громад, є надання фінансової підтримки власним комунальним підприємствам у відповідності з положеннями Закону України «Про місцеве самоврядування в Україні» та Бюджетного Кодексу України.</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 Мета та завдання Програми</w:t>
      </w: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Метою Програми є сприяння та забезпечення стабільної діяльності комунальних підприємств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збереження комунального майна шляхом надання фінансової підтримки відповідно до їх функціонального призначення щодо надання мешканцям громади якісних послуг в галузі житлово-комунального господарства та спрямована на виконання наступних завдань:</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виконання зобов’язань по виплаті заробітної плати з нарахуваннями;</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14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проведення вчасних розрахунків за спожиті енергоносії, що відносяться до виробничої собівартості послуг, та є невід’ємною частиною виробничого циклу;</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14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виконання зобов’язань по своєчасній сплаті податків та зборів, штрафних санкцій та пені та погашення податкових зобов'язань, виявлених під час перевірок;</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14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придбання предметів і матеріалів , які використовуються у виробничій діяльності підприємств;</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14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подолання наслідків стихії, надзвичайних ситуацій та аварій, які можуть потребувати залучення додаткових матеріальних , трудових  та фінансових ресурсів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14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140" w:firstLine="56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3. Способи фінансової підтримки комунального підприємства</w:t>
      </w: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14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3.1. Фінансова підтримка комунальним підприємствам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здійснюється у відповідності з Порядком виділення та використання коштів з бюджету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 формі фінансової підтримки комунальних підприємств на 2021-2025 роки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14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3.2. Фінансова підтримка комунальних підприємств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може надаватись на поворотній та безповоротній основі.</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4. Організація реалізації Програми та здійснення контролю </w:t>
      </w: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 її виконанням</w:t>
      </w:r>
      <w:r w:rsidDel="00000000" w:rsidR="00000000" w:rsidRPr="00000000">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4.1. Реалізація програми покладається на Відділ капітального будівництва , комунальної власності та житлово-комунального господарства Сквирської міської ради (відповідальний виконавець).</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4.2. Безпосередній контроль за виконанням завдань Програми здійснює Фінансове управління Сквирської міської ради,  Постійна комісія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ради з питань комунального майна, житлово-комунального господарства, благоустрою та охорони навколишнього середовища та Постійна комісія Сквирської міської ради з питань планування бюджету та фінансів, соціально-економічного розвитку.</w:t>
      </w:r>
      <w:r w:rsidDel="00000000" w:rsidR="00000000" w:rsidRPr="00000000">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72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5.</w:t>
        <w:tab/>
        <w:t xml:space="preserve">Фінансова забезпеченість Програми</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Фінансування Програми здійснюється в межах затвердження бюджетних призначень на її виконання, передбачених в місцевому бюджеті на відповідний рік.</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Головним розпорядником коштів на виконання Програми є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Відділ капітального будівництва, комунальної власності та житлово-комунального господарства Сквирської міської ради</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72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6.</w:t>
        <w:tab/>
        <w:t xml:space="preserve">Очікувані результати виконання Програми</w:t>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Виконання Програми дасть можливість забезпечити:</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безперебійну роботу комунальних підприємств відповідно до напрямів їхньої  діяльності;</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надання якісних послуг в галузі житлово – комунального господарства та благоустрою населених пунктів громади.</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уникнення порушень трудового законодавства, в частині своєчасної виплати заробітної плати.</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1119"/>
        </w:tabs>
        <w:spacing w:after="0" w:before="0" w:line="240" w:lineRule="auto"/>
        <w:ind w:left="0" w:right="0" w:firstLine="566"/>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 </w:t>
      </w: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комунального майна </w:t>
      </w:r>
      <w:r w:rsidDel="00000000" w:rsidR="00000000" w:rsidRPr="00000000">
        <w:rPr>
          <w:rtl w:val="0"/>
        </w:rPr>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ЖКГ міської ради </w:t>
        <w:tab/>
        <w:tab/>
        <w:tab/>
        <w:tab/>
        <w:tab/>
        <w:tab/>
        <w:t xml:space="preserve">Марина ТЕРНОВА</w:t>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4248"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4248"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4248"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4248"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Додаток 2</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3540" w:right="0" w:firstLine="708.000000000000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рішення сесії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3540" w:right="0" w:firstLine="708.000000000000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27.07.2023 року №-37-VIII</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32"/>
          <w:szCs w:val="32"/>
          <w:highlight w:val="white"/>
          <w:u w:val="none"/>
          <w:vertAlign w:val="baseline"/>
        </w:rPr>
      </w:pP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Roboto" w:cs="Roboto" w:eastAsia="Roboto" w:hAnsi="Roboto"/>
          <w:b w:val="0"/>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highlight w:val="white"/>
          <w:u w:val="none"/>
          <w:vertAlign w:val="baseline"/>
          <w:rtl w:val="0"/>
        </w:rPr>
        <w:t xml:space="preserve">Порядок</w:t>
      </w: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виділення та використання коштів з бюджету Сквирської міської ради у формі фінансової підтримки </w:t>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851"/>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 Цей Порядок визначає механізм надання та використання коштів з місцевого бюджету у вигляді фінансової підтримки комунальних підприємств Сквирської міської ради у рамках Програми фінансової підтримки комунальних підприємств на 2021-2025 роки.</w:t>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851"/>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2. Фінансова підтримка комунальним підприємствам надається на підставі статей 71, 91 Бюджетного кодексу України, статей 60, 64 Закону України «Про місцеве самоврядування в Україні», статті 143 Конституції України.</w:t>
      </w: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140" w:firstLine="851"/>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3. Фінансова підтримка надається комунальним підприємствам після н</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адання підприємствами фінансово-економічних розрахунків (обґрунтування) необхідності виділення коштів на надання фінансової підтримки чи поповнення статутного капіталу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з обов’язковим розрахунком економічного ефекту від впровадження заходів, проектів для забезпечення належної реалізації їх статутних завдань, покращення фінансово-бюджетної дисципліни,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зміцнення матеріально-технічної бази підприємств</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та надання якісних, безпечних, безперебійних послуг населенню, підприємствам і організаціям з метою створення сприятливих умов для життєдіяльності населених пунктів громади і сприяння поліпшенню фінансово-господарської діяльності підприємств відповідно до затвердженої Сквирською міською радою Програми.</w:t>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4. Фінансова підтримка комунальних підприємств  здійснюється засновником за рахунок коштів бюджету Сквирської міської ради в обсягах, передбачених рішенням про місцевий бюджет на відповідний рік, та в межах надходжень до місцевого бюджету. Зазначена фінансова підтримка надається як поточні трансферти комунальним підприємствам, які включені до мережі головного розпорядника коштів місцевого бюджету як одержувачі бюджетних коштів та використовується відповідно до договору між головним розпорядником коштів та одержувачем у національній валюті.</w:t>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5. Комунальне підприємство, що потребує отримання фінансової підтримки, оформлює клопотання на головного розпорядника коштів бюджету Сквирської міської ради з обґрунтуваннями та відповідними розрахунками.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 Закупівля товарів, робіт, послуг та проведення інших платежів комунальними підприємствами здійснюється у визначеному законодавством порядку:</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6.1. фінансова підтримка за рахунок бюджетних коштів може надаватися на безповоротній чи поворотній основі комунальним підприємствам, засновником яких є Сквирська міська рада. Фінансова підтримка надається виключно в межах затверджених бюджетних призначень бюджету Сквирської міської ради, та в залежності від наявного фінансового ресурсу місцевого бюджету;</w:t>
      </w: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6.2. фінансова підтримка може виділятися виключно на покриття поточних витрат комунального підприємства, які виникають в процесі господарської діяльності, напрямок якої відповідає меті і завданням цієї Програми, у випадку якщо такі витрати не покриваються доходами підприємства.</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6.3. фінансова підтримка не може бути направлена:</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 на премії та інші стимулюючі виплати, передбачені колективними договорами (окрім винагород за ліквідацію аварій та наслідків стихійного лиха);</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 на відрахування профспілковим організаціям для проведення культурно-масової і фізкультурної роботи;</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 на сплату податку на прибуток, частини чистого прибутку (доходу), що вилучається до бюджету, за оренду нежитлових  приміщень, штрафних санкцій і пені;</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 на надання спонсорської і благодійної допомоги;</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 на інші непродуктивні витрати, які безпосередньо не пов’язані із основним напрямком діяльності підприємства, який передбачений Статутом підприємства та відповідає меті і завданням Програми.</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6.4. критеріями визначення одержувача для надання фінансової підтримки є наявність:</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обґрунтування доцільності надання та розміру фінансової підтримки, із фінансово-економічним розрахунком, поданого одержувачем фінансової підтримки головному розпоряднику коштів бюджету Сквирської міської ради;</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затвердженого фінансового плану комунального підприємства на поточний рік; </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затверджених для відповідного комунального підприємства виконавчим комітетом цін/ тарифів на надання послуг.</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 Умови та строки надання поворотної фінансової підтримки:</w:t>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7.1. Поворотна фінансова підтримка  надається Позичальником за рішенням сесії Сквирської міської ради та в межах коштів, передбачених у бюджеті на відповідні  цілі.</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7.2. Поворотна фінансова підтримка  надається Позичальнику на безоплатній основі, тобто плата за користування послугами не стягується.</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7.3. Поворотна фінансова підтримка  надається Позичальнику на основі укладеного тристоронього договору між головним розпорядником, відповідальним виконавцем та позичальником на умовах визначених договором та цим Порядком на строк у межах бюджетного року. Проект договору є невід» ємною частиною рішення про надання поворотної  фінансової підтримки.</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7.4.Поворотна фінансова підтримка підлягає поверненню відповідно до графіка повернення коштів , що є додатком до договору , але не пізніше 20 грудня бюджетного року, в якому надана поворотна фінансова підтримка.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7.5.Повернення фінансової підтримки проводиться шляхом перерахування коштів Позичальником до міського бюджету.</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7.6.Поворотна фінансова підтримка повернута несвоєчасно або не в повному обсязі  стягується до міського бюджету відповідно до чинного законодавства. За порушення строків повернення фінансової підтримки стягується пеня у розмірі 0,1% від суми простроченого боргу за кожний день прострочення, включаючи день оплати.</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8. Контроль за цільовим використанням бюджетних коштів забезпечує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Фінансове управління Сквирської міської ради , головний  розпорядник коштів бюджету Сквирської міської ради.</w:t>
      </w: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9. Використання коштів з іншою метою, яка не відповідає цьому Порядку, є нецільовим використанням бюджетних коштів, що тягне за собою відповідальність згідно з чинним законодавством України.</w:t>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10. Комунальне підприємство, котре отримує фінансову підтримку з бюджету Сквирської міської ради за результатами своєї діяльності, подає щомісяця до 15 числа місяця, що настає за звітним, головному розпоряднику коштів місцевого бюджету фінансові звіти з пояснювальною запискою.</w:t>
      </w: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11. Відповідно до ст. 8 Закону України «Про бухгалтерський облік та фінансову звітність України» керівник комунального підприємства несе персональну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Roboto" w:cs="Roboto" w:eastAsia="Roboto" w:hAnsi="Roboto"/>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12. Складення та подання фінансової і бюджетної звітності про використання бюджетних коштів здійснюється в установленому законодавством порядку</w:t>
      </w: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 </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комунального майна </w:t>
      </w: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ЖКГ міської ради </w:t>
        <w:tab/>
        <w:tab/>
        <w:tab/>
        <w:tab/>
        <w:tab/>
        <w:tab/>
        <w:t xml:space="preserve">Марина ТЕРНОВА</w:t>
      </w: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ПОЯСНЮВАЛЬНА ЗАПИСКА</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До проекту рішення «внесення змін до </w:t>
      </w: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Програми фінансової</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highlight w:val="white"/>
          <w:u w:val="none"/>
          <w:vertAlign w:val="baseline"/>
          <w:rtl w:val="0"/>
        </w:rPr>
        <w:t xml:space="preserve">підтримки комунальних підприємств у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Сквирській</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міській територіальній громаді на 2021-2025 роки»</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 Обґрунтування необхідності прийняття рішення.</w:t>
      </w: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Підстава розроблення проекту – Закон України «Про місцеве самоврядування в Україні», Бюджетного кодексу України.</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Мета і завдання прийняття рішення.</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Мета проекту – забезпечення сталого розвитку Сквирської міської територіальної громади, стабільної роботи підприємств комунальної власності щодо надання мешканцям громади якісних житлових і комунальних послуг з урахуванням державних, громадських і приватних інтересів  </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Загальна характеристика та основні положення проєкту рішення.</w:t>
      </w: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 юридичної точки зору – це рішення є актом організаційно-розпорядчого характеру міської ради, як власника майна - Сквирської міської ради та учасників Програми – комунальних підприємств Сквирської міської ради.</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 Стан нормативно-правової бази у даній сфері правового регулювання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 питання регулюється відповідно до Закону України «Про місцеве самоврядування в Україні», Бюджетним Кодексом України.</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tab/>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Прогноз соціально-економічних та інших наслідків прийняття рішення.</w:t>
      </w: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 економічної точки зору – рішення має забезпечити ефективне та цільове</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використання бюджетних коштів, згідно вимог чинного законодавства. Реалізація зазначеного акту не потребує додаткового фінансування з місцевого бюджету.</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Начальниця відділу                                                              Марина ТЕРНОВА</w:t>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76"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06" w:top="992" w:left="1701" w:right="57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Обычный">
    <w:name w:val="Обычный"/>
    <w:next w:val="Обычный"/>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ru-RU" w:val="uk-UA"/>
    </w:rPr>
  </w:style>
  <w:style w:type="paragraph" w:styleId="Заголовок1">
    <w:name w:val="Заголовок 1"/>
    <w:basedOn w:val="Обычный"/>
    <w:next w:val="Заголовок1"/>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b w:val="1"/>
      <w:bCs w:val="1"/>
      <w:w w:val="100"/>
      <w:kern w:val="36"/>
      <w:position w:val="-1"/>
      <w:sz w:val="48"/>
      <w:szCs w:val="48"/>
      <w:effect w:val="none"/>
      <w:vertAlign w:val="baseline"/>
      <w:cs w:val="0"/>
      <w:em w:val="none"/>
      <w:lang w:bidi="ar-SA" w:eastAsia="uk-UA" w:val="uk-UA"/>
    </w:rPr>
  </w:style>
  <w:style w:type="paragraph" w:styleId="Заголовок2">
    <w:name w:val="Заголовок 2"/>
    <w:basedOn w:val="Обычный"/>
    <w:next w:val="Обычный"/>
    <w:autoRedefine w:val="0"/>
    <w:hidden w:val="0"/>
    <w:qFormat w:val="1"/>
    <w:pPr>
      <w:keepNext w:val="1"/>
      <w:keepLines w:val="1"/>
      <w:suppressAutoHyphens w:val="1"/>
      <w:spacing w:after="80" w:before="360" w:line="276" w:lineRule="auto"/>
      <w:ind w:leftChars="-1" w:rightChars="0" w:firstLineChars="-1"/>
      <w:textDirection w:val="btLr"/>
      <w:textAlignment w:val="top"/>
      <w:outlineLvl w:val="1"/>
    </w:pPr>
    <w:rPr>
      <w:b w:val="1"/>
      <w:w w:val="100"/>
      <w:position w:val="-1"/>
      <w:sz w:val="36"/>
      <w:szCs w:val="36"/>
      <w:effect w:val="none"/>
      <w:vertAlign w:val="baseline"/>
      <w:cs w:val="0"/>
      <w:em w:val="none"/>
      <w:lang w:bidi="ar-SA" w:eastAsia="ru-RU" w:val="uk-UA"/>
    </w:rPr>
  </w:style>
  <w:style w:type="paragraph" w:styleId="Заголовок3">
    <w:name w:val="Заголовок 3"/>
    <w:basedOn w:val="Обычный"/>
    <w:next w:val="Обычный"/>
    <w:autoRedefine w:val="0"/>
    <w:hidden w:val="0"/>
    <w:qFormat w:val="1"/>
    <w:pPr>
      <w:keepNext w:val="1"/>
      <w:keepLines w:val="1"/>
      <w:suppressAutoHyphens w:val="1"/>
      <w:spacing w:after="80" w:before="280" w:line="276" w:lineRule="auto"/>
      <w:ind w:leftChars="-1" w:rightChars="0" w:firstLineChars="-1"/>
      <w:textDirection w:val="btLr"/>
      <w:textAlignment w:val="top"/>
      <w:outlineLvl w:val="2"/>
    </w:pPr>
    <w:rPr>
      <w:b w:val="1"/>
      <w:w w:val="100"/>
      <w:position w:val="-1"/>
      <w:sz w:val="28"/>
      <w:szCs w:val="28"/>
      <w:effect w:val="none"/>
      <w:vertAlign w:val="baseline"/>
      <w:cs w:val="0"/>
      <w:em w:val="none"/>
      <w:lang w:bidi="ar-SA" w:eastAsia="ru-RU" w:val="uk-UA"/>
    </w:rPr>
  </w:style>
  <w:style w:type="paragraph" w:styleId="Заголовок4">
    <w:name w:val="Заголовок 4"/>
    <w:basedOn w:val="Обычный"/>
    <w:next w:val="Обычный"/>
    <w:autoRedefine w:val="0"/>
    <w:hidden w:val="0"/>
    <w:qFormat w:val="1"/>
    <w:pPr>
      <w:keepNext w:val="1"/>
      <w:keepLines w:val="1"/>
      <w:suppressAutoHyphens w:val="1"/>
      <w:spacing w:after="40" w:before="240" w:line="276" w:lineRule="auto"/>
      <w:ind w:leftChars="-1" w:rightChars="0" w:firstLineChars="-1"/>
      <w:textDirection w:val="btLr"/>
      <w:textAlignment w:val="top"/>
      <w:outlineLvl w:val="3"/>
    </w:pPr>
    <w:rPr>
      <w:b w:val="1"/>
      <w:w w:val="100"/>
      <w:position w:val="-1"/>
      <w:sz w:val="24"/>
      <w:szCs w:val="24"/>
      <w:effect w:val="none"/>
      <w:vertAlign w:val="baseline"/>
      <w:cs w:val="0"/>
      <w:em w:val="none"/>
      <w:lang w:bidi="ar-SA" w:eastAsia="ru-RU" w:val="uk-UA"/>
    </w:rPr>
  </w:style>
  <w:style w:type="paragraph" w:styleId="Заголовок5">
    <w:name w:val="Заголовок 5"/>
    <w:basedOn w:val="Обычный"/>
    <w:next w:val="Обычный"/>
    <w:autoRedefine w:val="0"/>
    <w:hidden w:val="0"/>
    <w:qFormat w:val="1"/>
    <w:pPr>
      <w:keepNext w:val="1"/>
      <w:keepLines w:val="1"/>
      <w:suppressAutoHyphens w:val="1"/>
      <w:spacing w:after="40" w:before="220" w:line="276" w:lineRule="auto"/>
      <w:ind w:leftChars="-1" w:rightChars="0" w:firstLineChars="-1"/>
      <w:textDirection w:val="btLr"/>
      <w:textAlignment w:val="top"/>
      <w:outlineLvl w:val="4"/>
    </w:pPr>
    <w:rPr>
      <w:b w:val="1"/>
      <w:w w:val="100"/>
      <w:position w:val="-1"/>
      <w:sz w:val="22"/>
      <w:szCs w:val="22"/>
      <w:effect w:val="none"/>
      <w:vertAlign w:val="baseline"/>
      <w:cs w:val="0"/>
      <w:em w:val="none"/>
      <w:lang w:bidi="ar-SA" w:eastAsia="ru-RU" w:val="uk-UA"/>
    </w:rPr>
  </w:style>
  <w:style w:type="paragraph" w:styleId="Заголовок6">
    <w:name w:val="Заголовок 6"/>
    <w:basedOn w:val="Обычный"/>
    <w:next w:val="Обычный"/>
    <w:autoRedefine w:val="0"/>
    <w:hidden w:val="0"/>
    <w:qFormat w:val="1"/>
    <w:pPr>
      <w:keepNext w:val="1"/>
      <w:keepLines w:val="1"/>
      <w:suppressAutoHyphens w:val="1"/>
      <w:spacing w:after="40" w:before="200" w:line="276" w:lineRule="auto"/>
      <w:ind w:leftChars="-1" w:rightChars="0" w:firstLineChars="-1"/>
      <w:textDirection w:val="btLr"/>
      <w:textAlignment w:val="top"/>
      <w:outlineLvl w:val="5"/>
    </w:pPr>
    <w:rPr>
      <w:b w:val="1"/>
      <w:w w:val="100"/>
      <w:position w:val="-1"/>
      <w:sz w:val="20"/>
      <w:szCs w:val="20"/>
      <w:effect w:val="none"/>
      <w:vertAlign w:val="baseline"/>
      <w:cs w:val="0"/>
      <w:em w:val="none"/>
      <w:lang w:bidi="ar-SA" w:eastAsia="ru-RU" w:val="uk-UA"/>
    </w:rPr>
  </w:style>
  <w:style w:type="character" w:styleId="Основнойшрифтабзаца">
    <w:name w:val="Основной шрифт абзаца"/>
    <w:next w:val="Основнойшрифтабзаца"/>
    <w:autoRedefine w:val="0"/>
    <w:hidden w:val="0"/>
    <w:qFormat w:val="1"/>
    <w:rPr>
      <w:w w:val="100"/>
      <w:position w:val="-1"/>
      <w:effect w:val="none"/>
      <w:vertAlign w:val="baseline"/>
      <w:cs w:val="0"/>
      <w:em w:val="none"/>
      <w:lang/>
    </w:rPr>
  </w:style>
  <w:style w:type="table" w:styleId="Обычнаятаблица">
    <w:name w:val="Обычная таблица"/>
    <w:next w:val="Обычнаятаблица"/>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тсписка">
    <w:name w:val="Нет списка"/>
    <w:next w:val="Нетсписка"/>
    <w:autoRedefine w:val="0"/>
    <w:hidden w:val="0"/>
    <w:qFormat w:val="1"/>
    <w:pPr>
      <w:suppressAutoHyphens w:val="1"/>
      <w:spacing w:line="1" w:lineRule="atLeast"/>
      <w:ind w:leftChars="-1" w:rightChars="0" w:firstLineChars="-1"/>
      <w:textDirection w:val="btLr"/>
      <w:textAlignment w:val="top"/>
      <w:outlineLvl w:val="0"/>
    </w:pPr>
  </w:style>
  <w:style w:type="table" w:styleId="TableNormal">
    <w:name w:val="Table Normal"/>
    <w:next w:val="TableNormal"/>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ru-RU" w:val="uk-UA"/>
    </w:rPr>
    <w:tblPr>
      <w:tblStyle w:val="TableNormal"/>
      <w:jc w:val="left"/>
      <w:tblCellMar>
        <w:top w:w="0.0" w:type="dxa"/>
        <w:left w:w="0.0" w:type="dxa"/>
        <w:bottom w:w="0.0" w:type="dxa"/>
        <w:right w:w="0.0" w:type="dxa"/>
      </w:tblCellMar>
    </w:tblPr>
  </w:style>
  <w:style w:type="paragraph" w:styleId="Название">
    <w:name w:val="Название"/>
    <w:basedOn w:val="Обычный"/>
    <w:next w:val="Обычный"/>
    <w:autoRedefine w:val="0"/>
    <w:hidden w:val="0"/>
    <w:qFormat w:val="0"/>
    <w:pPr>
      <w:keepNext w:val="1"/>
      <w:keepLines w:val="1"/>
      <w:suppressAutoHyphens w:val="1"/>
      <w:spacing w:after="120" w:before="480" w:line="276" w:lineRule="auto"/>
      <w:ind w:leftChars="-1" w:rightChars="0" w:firstLineChars="-1"/>
      <w:textDirection w:val="btLr"/>
      <w:textAlignment w:val="top"/>
      <w:outlineLvl w:val="0"/>
    </w:pPr>
    <w:rPr>
      <w:b w:val="1"/>
      <w:w w:val="100"/>
      <w:position w:val="-1"/>
      <w:sz w:val="72"/>
      <w:szCs w:val="72"/>
      <w:effect w:val="none"/>
      <w:vertAlign w:val="baseline"/>
      <w:cs w:val="0"/>
      <w:em w:val="none"/>
      <w:lang w:bidi="ar-SA" w:eastAsia="ru-RU" w:val="uk-UA"/>
    </w:rPr>
  </w:style>
  <w:style w:type="character" w:styleId="Заголовок1Знак">
    <w:name w:val="Заголовок 1 Знак"/>
    <w:basedOn w:val="Основнойшрифтабзаца"/>
    <w:next w:val="Заголовок1Знак"/>
    <w:autoRedefine w:val="0"/>
    <w:hidden w:val="0"/>
    <w:qFormat w:val="0"/>
    <w:rPr>
      <w:rFonts w:ascii="Times New Roman" w:cs="Times New Roman" w:eastAsia="Times New Roman" w:hAnsi="Times New Roman"/>
      <w:b w:val="1"/>
      <w:bCs w:val="1"/>
      <w:w w:val="100"/>
      <w:kern w:val="36"/>
      <w:position w:val="-1"/>
      <w:sz w:val="48"/>
      <w:szCs w:val="48"/>
      <w:effect w:val="none"/>
      <w:vertAlign w:val="baseline"/>
      <w:cs w:val="0"/>
      <w:em w:val="none"/>
      <w:lang w:eastAsia="uk-UA"/>
    </w:rPr>
  </w:style>
  <w:style w:type="paragraph" w:styleId="Обычный(веб)">
    <w:name w:val="Обычный (веб)"/>
    <w:basedOn w:val="Обычный"/>
    <w:next w:val="Обычный(веб)"/>
    <w:autoRedefine w:val="0"/>
    <w:hidden w:val="0"/>
    <w:qFormat w:val="1"/>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uk-UA" w:val="uk-UA"/>
    </w:rPr>
  </w:style>
  <w:style w:type="character" w:styleId="Строгий">
    <w:name w:val="Строгий"/>
    <w:basedOn w:val="Основнойшрифтабзаца"/>
    <w:next w:val="Строгий"/>
    <w:autoRedefine w:val="0"/>
    <w:hidden w:val="0"/>
    <w:qFormat w:val="0"/>
    <w:rPr>
      <w:b w:val="1"/>
      <w:bCs w:val="1"/>
      <w:w w:val="100"/>
      <w:position w:val="-1"/>
      <w:effect w:val="none"/>
      <w:vertAlign w:val="baseline"/>
      <w:cs w:val="0"/>
      <w:em w:val="none"/>
      <w:lang/>
    </w:rPr>
  </w:style>
  <w:style w:type="character" w:styleId="Выделение">
    <w:name w:val="Выделение"/>
    <w:basedOn w:val="Основнойшрифтабзаца"/>
    <w:next w:val="Выделение"/>
    <w:autoRedefine w:val="0"/>
    <w:hidden w:val="0"/>
    <w:qFormat w:val="0"/>
    <w:rPr>
      <w:i w:val="1"/>
      <w:iCs w:val="1"/>
      <w:w w:val="100"/>
      <w:position w:val="-1"/>
      <w:effect w:val="none"/>
      <w:vertAlign w:val="baseline"/>
      <w:cs w:val="0"/>
      <w:em w:val="none"/>
      <w:lang/>
    </w:rPr>
  </w:style>
  <w:style w:type="character" w:styleId="Гиперссылка">
    <w:name w:val="Гиперссылка"/>
    <w:basedOn w:val="Основнойшрифтабзаца"/>
    <w:next w:val="Гиперссылка"/>
    <w:autoRedefine w:val="0"/>
    <w:hidden w:val="0"/>
    <w:qFormat w:val="1"/>
    <w:rPr>
      <w:color w:val="0000ff"/>
      <w:w w:val="100"/>
      <w:position w:val="-1"/>
      <w:u w:val="single"/>
      <w:effect w:val="none"/>
      <w:vertAlign w:val="baseline"/>
      <w:cs w:val="0"/>
      <w:em w:val="none"/>
      <w:lang/>
    </w:rPr>
  </w:style>
  <w:style w:type="paragraph" w:styleId="Абзацсписка">
    <w:name w:val="Абзац списка"/>
    <w:basedOn w:val="Обычный"/>
    <w:next w:val="Абзацсписка"/>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ru-RU" w:val="uk-UA"/>
    </w:rPr>
  </w:style>
  <w:style w:type="paragraph" w:styleId="Текствыноски">
    <w:name w:val="Текст выноски"/>
    <w:basedOn w:val="Обычный"/>
    <w:next w:val="Текствыноски"/>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ru-RU" w:val="uk-UA"/>
    </w:rPr>
  </w:style>
  <w:style w:type="character" w:styleId="ТекствыноскиЗнак">
    <w:name w:val="Текст выноски Знак"/>
    <w:basedOn w:val="Основнойшрифтабзаца"/>
    <w:next w:val="ТекствыноскиЗнак"/>
    <w:autoRedefine w:val="0"/>
    <w:hidden w:val="0"/>
    <w:qFormat w:val="0"/>
    <w:rPr>
      <w:rFonts w:ascii="Tahoma" w:cs="Tahoma" w:hAnsi="Tahoma"/>
      <w:w w:val="100"/>
      <w:position w:val="-1"/>
      <w:sz w:val="16"/>
      <w:szCs w:val="16"/>
      <w:effect w:val="none"/>
      <w:vertAlign w:val="baseline"/>
      <w:cs w:val="0"/>
      <w:em w:val="none"/>
      <w:lang/>
    </w:rPr>
  </w:style>
  <w:style w:type="paragraph" w:styleId="Безинтервала">
    <w:name w:val="Без интервала"/>
    <w:next w:val="Безинтервала"/>
    <w:autoRedefine w:val="0"/>
    <w:hidden w:val="0"/>
    <w:qFormat w:val="0"/>
    <w:pPr>
      <w:suppressAutoHyphens w:val="1"/>
      <w:spacing w:line="1" w:lineRule="atLeast"/>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ru-RU" w:val="ru-RU"/>
    </w:rPr>
  </w:style>
  <w:style w:type="paragraph" w:styleId="Подзаголовок">
    <w:name w:val="Подзаголовок"/>
    <w:basedOn w:val="Обычный"/>
    <w:next w:val="Обычный"/>
    <w:autoRedefine w:val="0"/>
    <w:hidden w:val="0"/>
    <w:qFormat w:val="0"/>
    <w:pPr>
      <w:keepNext w:val="1"/>
      <w:keepLines w:val="1"/>
      <w:suppressAutoHyphens w:val="1"/>
      <w:spacing w:after="80" w:before="360" w:line="276" w:lineRule="auto"/>
      <w:ind w:leftChars="-1" w:rightChars="0" w:firstLineChars="-1"/>
      <w:textDirection w:val="btLr"/>
      <w:textAlignment w:val="top"/>
      <w:outlineLvl w:val="0"/>
    </w:pPr>
    <w:rPr>
      <w:rFonts w:ascii="Georgia" w:cs="Georgia" w:eastAsia="Georgia" w:hAnsi="Georgia"/>
      <w:i w:val="1"/>
      <w:color w:val="666666"/>
      <w:w w:val="100"/>
      <w:position w:val="-1"/>
      <w:sz w:val="48"/>
      <w:szCs w:val="48"/>
      <w:effect w:val="none"/>
      <w:vertAlign w:val="baseline"/>
      <w:cs w:val="0"/>
      <w:em w:val="none"/>
      <w:lang w:bidi="ar-SA" w:eastAsia="ru-RU" w:val="uk-UA"/>
    </w:rPr>
  </w:style>
  <w:style w:type="table" w:styleId="">
    <w:name w:val=""/>
    <w:basedOn w:val="TableNormal"/>
    <w:next w:val=""/>
    <w:autoRedefine w:val="0"/>
    <w:hidden w:val="0"/>
    <w:qFormat w:val="0"/>
    <w:pPr>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ru-RU" w:val="uk-UA"/>
    </w:rPr>
    <w:tblPr>
      <w:tblStyle w:val=""/>
      <w:tblStyleRowBandSize w:val="1"/>
      <w:tblStyleColBandSize w:val="1"/>
      <w:jc w:val="left"/>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d4zLV7BFsOWuISluCdpJBi5rKA==">CgMxLjAyCWguMzBqMHpsbDIJaC4xZm9iOXRlMghoLmdqZGd4czgAciExTmo2TF9MaWF6UHFlenE4SDVuWVkzbzBwQ0Z3cy1CT2k=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2023-07-20T10:14:00Z</dcterms:created>
  <dc:creator>Ekv</dc:creator>
</cp:coreProperties>
</file>